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B0AB8" w14:textId="77777777" w:rsidR="00CF51EE" w:rsidRDefault="00C57CD9">
      <w:pPr>
        <w:pStyle w:val="Ttulo1"/>
        <w:spacing w:after="359"/>
        <w:ind w:left="610" w:right="600"/>
      </w:pPr>
      <w:r>
        <w:t>ORIENTAÇÕES SOBRE ESTÁGIOS</w:t>
      </w:r>
    </w:p>
    <w:p w14:paraId="3B06E4E0" w14:textId="77777777" w:rsidR="00CF51EE" w:rsidRDefault="00C57CD9">
      <w:pPr>
        <w:spacing w:after="48" w:line="259" w:lineRule="auto"/>
        <w:ind w:right="0" w:firstLine="0"/>
        <w:jc w:val="center"/>
      </w:pPr>
      <w:r>
        <w:rPr>
          <w:i w:val="0"/>
        </w:rPr>
        <w:t>Prezados estudantes, as orientações aqui contidas estão baseadas na</w:t>
      </w:r>
    </w:p>
    <w:p w14:paraId="1287296A" w14:textId="77777777" w:rsidR="00CF51EE" w:rsidRDefault="00C57CD9">
      <w:pPr>
        <w:spacing w:after="609" w:line="259" w:lineRule="auto"/>
        <w:ind w:right="0" w:firstLine="0"/>
        <w:jc w:val="center"/>
      </w:pPr>
      <w:r>
        <w:rPr>
          <w:i w:val="0"/>
        </w:rPr>
        <w:t xml:space="preserve">Lei. </w:t>
      </w:r>
      <w:hyperlink r:id="rId5">
        <w:r>
          <w:rPr>
            <w:b/>
            <w:i w:val="0"/>
            <w:color w:val="000080"/>
            <w:u w:val="single" w:color="000080"/>
          </w:rPr>
          <w:t>LEI</w:t>
        </w:r>
      </w:hyperlink>
      <w:r>
        <w:rPr>
          <w:b/>
          <w:i w:val="0"/>
          <w:color w:val="000080"/>
          <w:u w:val="single" w:color="000080"/>
        </w:rPr>
        <w:t xml:space="preserve"> </w:t>
      </w:r>
      <w:hyperlink r:id="rId6">
        <w:r>
          <w:rPr>
            <w:b/>
            <w:i w:val="0"/>
            <w:color w:val="000080"/>
            <w:u w:val="single" w:color="000080"/>
          </w:rPr>
          <w:t>Nº</w:t>
        </w:r>
      </w:hyperlink>
      <w:r>
        <w:rPr>
          <w:b/>
          <w:i w:val="0"/>
          <w:color w:val="000080"/>
          <w:u w:val="single" w:color="000080"/>
        </w:rPr>
        <w:t xml:space="preserve"> </w:t>
      </w:r>
      <w:hyperlink r:id="rId7">
        <w:r>
          <w:rPr>
            <w:b/>
            <w:i w:val="0"/>
            <w:color w:val="000080"/>
            <w:u w:val="single" w:color="000080"/>
          </w:rPr>
          <w:t>11.788,</w:t>
        </w:r>
      </w:hyperlink>
      <w:r>
        <w:rPr>
          <w:b/>
          <w:i w:val="0"/>
          <w:color w:val="000080"/>
          <w:u w:val="single" w:color="000080"/>
        </w:rPr>
        <w:t xml:space="preserve"> </w:t>
      </w:r>
      <w:hyperlink r:id="rId8">
        <w:r>
          <w:rPr>
            <w:b/>
            <w:i w:val="0"/>
            <w:color w:val="000080"/>
            <w:u w:val="single" w:color="000080"/>
          </w:rPr>
          <w:t>DE</w:t>
        </w:r>
      </w:hyperlink>
      <w:r>
        <w:rPr>
          <w:b/>
          <w:i w:val="0"/>
          <w:color w:val="000080"/>
          <w:u w:val="single" w:color="000080"/>
        </w:rPr>
        <w:t xml:space="preserve"> </w:t>
      </w:r>
      <w:hyperlink r:id="rId9">
        <w:r>
          <w:rPr>
            <w:b/>
            <w:i w:val="0"/>
            <w:color w:val="000080"/>
            <w:u w:val="single" w:color="000080"/>
          </w:rPr>
          <w:t>25</w:t>
        </w:r>
      </w:hyperlink>
      <w:r>
        <w:rPr>
          <w:b/>
          <w:i w:val="0"/>
          <w:color w:val="000080"/>
          <w:u w:val="single" w:color="000080"/>
        </w:rPr>
        <w:t xml:space="preserve"> </w:t>
      </w:r>
      <w:hyperlink r:id="rId10">
        <w:r>
          <w:rPr>
            <w:b/>
            <w:i w:val="0"/>
            <w:color w:val="000080"/>
            <w:u w:val="single" w:color="000080"/>
          </w:rPr>
          <w:t>DE</w:t>
        </w:r>
      </w:hyperlink>
      <w:r>
        <w:rPr>
          <w:b/>
          <w:i w:val="0"/>
          <w:color w:val="000080"/>
          <w:u w:val="single" w:color="000080"/>
        </w:rPr>
        <w:t xml:space="preserve"> </w:t>
      </w:r>
      <w:hyperlink r:id="rId11">
        <w:r>
          <w:rPr>
            <w:b/>
            <w:i w:val="0"/>
            <w:color w:val="000080"/>
            <w:u w:val="single" w:color="000080"/>
          </w:rPr>
          <w:t>SETEMBRO</w:t>
        </w:r>
      </w:hyperlink>
      <w:r>
        <w:rPr>
          <w:b/>
          <w:i w:val="0"/>
          <w:color w:val="000080"/>
          <w:u w:val="single" w:color="000080"/>
        </w:rPr>
        <w:t xml:space="preserve"> </w:t>
      </w:r>
      <w:hyperlink r:id="rId12">
        <w:r>
          <w:rPr>
            <w:b/>
            <w:i w:val="0"/>
            <w:color w:val="000080"/>
            <w:u w:val="single" w:color="000080"/>
          </w:rPr>
          <w:t>DE</w:t>
        </w:r>
      </w:hyperlink>
      <w:r>
        <w:rPr>
          <w:b/>
          <w:i w:val="0"/>
          <w:color w:val="000080"/>
          <w:u w:val="single" w:color="000080"/>
        </w:rPr>
        <w:t xml:space="preserve"> </w:t>
      </w:r>
      <w:hyperlink r:id="rId13">
        <w:r>
          <w:rPr>
            <w:b/>
            <w:i w:val="0"/>
            <w:color w:val="000080"/>
            <w:u w:val="single" w:color="000080"/>
          </w:rPr>
          <w:t>2008.</w:t>
        </w:r>
      </w:hyperlink>
      <w:r>
        <w:rPr>
          <w:b/>
          <w:i w:val="0"/>
          <w:color w:val="000080"/>
          <w:u w:val="single" w:color="000080"/>
        </w:rPr>
        <w:t xml:space="preserve"> </w:t>
      </w:r>
      <w:r>
        <w:rPr>
          <w:i w:val="0"/>
        </w:rPr>
        <w:t>- Lei dos Estágios.</w:t>
      </w:r>
    </w:p>
    <w:p w14:paraId="664C7849" w14:textId="77777777" w:rsidR="00CF51EE" w:rsidRDefault="00C57CD9">
      <w:pPr>
        <w:pStyle w:val="Ttulo1"/>
        <w:spacing w:after="329"/>
        <w:ind w:left="610" w:right="600"/>
      </w:pPr>
      <w:r>
        <w:t>DEFINIÇÃO</w:t>
      </w:r>
    </w:p>
    <w:p w14:paraId="1EAF6BE0" w14:textId="77777777" w:rsidR="00CF51EE" w:rsidRDefault="00C57CD9">
      <w:pPr>
        <w:spacing w:after="553"/>
        <w:ind w:left="-15" w:right="-5" w:firstLine="720"/>
      </w:pPr>
      <w:r>
        <w:t>Art. 1</w:t>
      </w:r>
      <w:r>
        <w:rPr>
          <w:sz w:val="22"/>
          <w:u w:val="single" w:color="000000"/>
          <w:vertAlign w:val="superscript"/>
        </w:rPr>
        <w:t xml:space="preserve">o </w:t>
      </w:r>
      <w:r>
        <w:t xml:space="preserve">Estágio é ato educativo escolar supervisionado, desenvolvido no ambiente de trabalho, que visa à preparação para o trabalho produtivo de educandos que estejam </w:t>
      </w:r>
      <w:proofErr w:type="spellStart"/>
      <w:r>
        <w:t>freqüentando</w:t>
      </w:r>
      <w:proofErr w:type="spellEnd"/>
      <w:r>
        <w:t xml:space="preserve"> o ensino regular em instituições de educação superior, de educação profissional, de ensino médio, da educação especial e dos anos finais do ensino fundamental, na modalidade profissional da educação de jovens e adultos.</w:t>
      </w:r>
    </w:p>
    <w:p w14:paraId="4ACA44AB" w14:textId="77777777" w:rsidR="00CF51EE" w:rsidRDefault="00C57CD9">
      <w:pPr>
        <w:pStyle w:val="Ttulo1"/>
        <w:spacing w:after="529"/>
        <w:ind w:left="610" w:right="600"/>
      </w:pPr>
      <w:r>
        <w:t>MODALIDADES</w:t>
      </w:r>
    </w:p>
    <w:p w14:paraId="4CB93B39" w14:textId="77777777" w:rsidR="00CF51EE" w:rsidRDefault="00C57CD9">
      <w:pPr>
        <w:ind w:left="-15" w:right="-5"/>
      </w:pPr>
      <w:r>
        <w:rPr>
          <w:b/>
        </w:rPr>
        <w:t>Art. 2</w:t>
      </w:r>
      <w:r>
        <w:rPr>
          <w:b/>
          <w:sz w:val="22"/>
          <w:vertAlign w:val="superscript"/>
        </w:rPr>
        <w:t xml:space="preserve">o </w:t>
      </w:r>
      <w:r>
        <w:t xml:space="preserve">O estágio poderá ser </w:t>
      </w:r>
      <w:r>
        <w:rPr>
          <w:b/>
        </w:rPr>
        <w:t xml:space="preserve">obrigatório </w:t>
      </w:r>
      <w:r>
        <w:t xml:space="preserve">ou </w:t>
      </w:r>
      <w:r>
        <w:rPr>
          <w:b/>
        </w:rPr>
        <w:t>não-obrigatório</w:t>
      </w:r>
      <w:r>
        <w:t>, conforme determinação das diretrizes curriculares da etapa, modalidade e área de ensino e do projeto pedagógico do curso.</w:t>
      </w:r>
    </w:p>
    <w:p w14:paraId="7921D125" w14:textId="77777777" w:rsidR="00CF51EE" w:rsidRDefault="00C57CD9">
      <w:pPr>
        <w:ind w:left="-15" w:right="-5"/>
      </w:pPr>
      <w:r>
        <w:rPr>
          <w:b/>
        </w:rPr>
        <w:t>§ 1</w:t>
      </w:r>
      <w:r>
        <w:rPr>
          <w:b/>
          <w:sz w:val="22"/>
          <w:vertAlign w:val="superscript"/>
        </w:rPr>
        <w:t xml:space="preserve">o </w:t>
      </w:r>
      <w:r>
        <w:rPr>
          <w:b/>
          <w:u w:val="single" w:color="000000"/>
        </w:rPr>
        <w:t xml:space="preserve">Estágio obrigatório </w:t>
      </w:r>
      <w:r>
        <w:t xml:space="preserve">é aquele definido como tal no projeto do curso, cuja carga horária é requisito para aprovação e </w:t>
      </w:r>
      <w:r>
        <w:rPr>
          <w:b/>
          <w:u w:val="single" w:color="000000"/>
        </w:rPr>
        <w:t>obtenção de diploma.</w:t>
      </w:r>
    </w:p>
    <w:p w14:paraId="216177AC" w14:textId="77777777" w:rsidR="00CF51EE" w:rsidRDefault="00C57CD9">
      <w:pPr>
        <w:spacing w:after="198" w:line="301" w:lineRule="auto"/>
        <w:ind w:left="-15" w:right="0" w:firstLine="682"/>
      </w:pPr>
      <w:r>
        <w:rPr>
          <w:i w:val="0"/>
        </w:rPr>
        <w:t xml:space="preserve">O </w:t>
      </w:r>
      <w:r>
        <w:rPr>
          <w:b/>
          <w:i w:val="0"/>
        </w:rPr>
        <w:t xml:space="preserve">Estágio obrigatório </w:t>
      </w:r>
      <w:r>
        <w:rPr>
          <w:i w:val="0"/>
        </w:rPr>
        <w:t xml:space="preserve">nos cursos Técnicos da escola devem ser iniciados no IV Módulo, ou Pós-Módulos. Esse Estágio é de caráter pedagógico e consta como um componente curricular. Deve ser realizado via abertura de processo no </w:t>
      </w:r>
      <w:r>
        <w:rPr>
          <w:b/>
          <w:i w:val="0"/>
        </w:rPr>
        <w:t xml:space="preserve">SEAP, sob orientação técnica do professor do respectivo curso. </w:t>
      </w:r>
      <w:r>
        <w:rPr>
          <w:i w:val="0"/>
        </w:rPr>
        <w:t>O prazo máximo para realização do estágio é de cinco anos a contar da data da matrícula.</w:t>
      </w:r>
    </w:p>
    <w:p w14:paraId="3338C572" w14:textId="77777777" w:rsidR="00CF51EE" w:rsidRDefault="00C57CD9">
      <w:pPr>
        <w:spacing w:after="54" w:line="259" w:lineRule="auto"/>
        <w:ind w:right="0" w:firstLine="0"/>
        <w:jc w:val="right"/>
      </w:pPr>
      <w:r>
        <w:rPr>
          <w:b/>
          <w:i w:val="0"/>
          <w:sz w:val="22"/>
          <w:vertAlign w:val="superscript"/>
        </w:rPr>
        <w:t>o</w:t>
      </w:r>
      <w:r>
        <w:rPr>
          <w:b/>
          <w:i w:val="0"/>
        </w:rPr>
        <w:t xml:space="preserve">§ 2 </w:t>
      </w:r>
      <w:r>
        <w:rPr>
          <w:b/>
          <w:i w:val="0"/>
          <w:u w:val="single" w:color="000000"/>
        </w:rPr>
        <w:t xml:space="preserve">Estágio não-obrigatório </w:t>
      </w:r>
      <w:r>
        <w:rPr>
          <w:i w:val="0"/>
        </w:rPr>
        <w:t>é aquele desenvolvido como atividade opcional,</w:t>
      </w:r>
    </w:p>
    <w:p w14:paraId="23FB7697" w14:textId="77777777" w:rsidR="00CF51EE" w:rsidRDefault="00C57CD9">
      <w:pPr>
        <w:spacing w:after="198" w:line="301" w:lineRule="auto"/>
        <w:ind w:left="-5" w:right="0" w:hanging="10"/>
      </w:pPr>
      <w:r>
        <w:rPr>
          <w:i w:val="0"/>
        </w:rPr>
        <w:t>acrescida à carga horária regular e obrigatória.</w:t>
      </w:r>
    </w:p>
    <w:p w14:paraId="01013FF9" w14:textId="77777777" w:rsidR="00CF51EE" w:rsidRDefault="00C57CD9">
      <w:pPr>
        <w:spacing w:after="198" w:line="301" w:lineRule="auto"/>
        <w:ind w:left="-15" w:right="0" w:firstLine="600"/>
      </w:pPr>
      <w:r>
        <w:rPr>
          <w:i w:val="0"/>
        </w:rPr>
        <w:t>O Estágio não-obrigatório nos Cursos Técnicos ou de Ensino Médio são os intermediados por um agente de integração (</w:t>
      </w:r>
      <w:proofErr w:type="spellStart"/>
      <w:r>
        <w:rPr>
          <w:i w:val="0"/>
        </w:rPr>
        <w:t>Ex</w:t>
      </w:r>
      <w:proofErr w:type="spellEnd"/>
      <w:r>
        <w:rPr>
          <w:i w:val="0"/>
        </w:rPr>
        <w:t>: CIEE) e assinados pela direção. Os estudantes podem receber bolsa-auxílio e o prazo máximo do estágio é de dois anos. Os estudantes dos cursos técnicos podem iniciar essa modalidade de estágio no I, II e III módulo.</w:t>
      </w:r>
    </w:p>
    <w:p w14:paraId="27FFE104" w14:textId="77777777" w:rsidR="00CF51EE" w:rsidRDefault="00C57CD9">
      <w:pPr>
        <w:ind w:left="-15" w:right="-5"/>
      </w:pPr>
      <w:r>
        <w:rPr>
          <w:i w:val="0"/>
        </w:rPr>
        <w:t xml:space="preserve">OBS: Em ambos os casos é necessário a contratação de seguro contra acidentes pessoais, conforme o </w:t>
      </w:r>
      <w:r>
        <w:rPr>
          <w:b/>
        </w:rPr>
        <w:t xml:space="preserve">Art. 9. IV </w:t>
      </w:r>
      <w:r>
        <w:t xml:space="preserve">– </w:t>
      </w:r>
      <w:proofErr w:type="gramStart"/>
      <w:r>
        <w:t>contratar</w:t>
      </w:r>
      <w:proofErr w:type="gramEnd"/>
      <w:r>
        <w:t xml:space="preserve"> em favor do estagiário seguro </w:t>
      </w:r>
      <w:r>
        <w:lastRenderedPageBreak/>
        <w:t>contra acidentes pessoais, cuja apólice seja compatível com valores de mercado, conforme fique estabelecido no termo de compromisso;</w:t>
      </w:r>
    </w:p>
    <w:p w14:paraId="1E681AB7" w14:textId="77777777" w:rsidR="00CF51EE" w:rsidRDefault="00C57CD9">
      <w:pPr>
        <w:pStyle w:val="Ttulo1"/>
        <w:ind w:left="610"/>
      </w:pPr>
      <w:r>
        <w:t>OBRIGAÇÕES LEGAIS</w:t>
      </w:r>
    </w:p>
    <w:p w14:paraId="1AD5AFAB" w14:textId="77777777" w:rsidR="00CF51EE" w:rsidRDefault="00C57CD9">
      <w:pPr>
        <w:ind w:left="-15" w:right="-5"/>
      </w:pPr>
      <w:r>
        <w:t>Art. 3</w:t>
      </w:r>
      <w:r>
        <w:rPr>
          <w:sz w:val="22"/>
          <w:vertAlign w:val="superscript"/>
        </w:rPr>
        <w:t xml:space="preserve">o </w:t>
      </w:r>
      <w:r>
        <w:t>O estágio, tanto na hipótese do § 1</w:t>
      </w:r>
      <w:r>
        <w:rPr>
          <w:sz w:val="22"/>
          <w:vertAlign w:val="superscript"/>
        </w:rPr>
        <w:t xml:space="preserve">o </w:t>
      </w:r>
      <w:r>
        <w:t>do art. 2</w:t>
      </w:r>
      <w:r>
        <w:rPr>
          <w:sz w:val="22"/>
          <w:vertAlign w:val="superscript"/>
        </w:rPr>
        <w:t xml:space="preserve">o </w:t>
      </w:r>
      <w:r>
        <w:t>desta Lei quanto na prevista no § 2</w:t>
      </w:r>
      <w:r>
        <w:rPr>
          <w:sz w:val="22"/>
          <w:vertAlign w:val="superscript"/>
        </w:rPr>
        <w:t xml:space="preserve">o </w:t>
      </w:r>
      <w:r>
        <w:t>do mesmo dispositivo, não cria vínculo empregatício de qualquer natureza, observados os seguintes requisitos:</w:t>
      </w:r>
    </w:p>
    <w:p w14:paraId="12C0F267" w14:textId="77777777" w:rsidR="00CF51EE" w:rsidRDefault="00C57CD9">
      <w:pPr>
        <w:numPr>
          <w:ilvl w:val="0"/>
          <w:numId w:val="1"/>
        </w:numPr>
        <w:ind w:right="-9"/>
        <w:jc w:val="left"/>
      </w:pPr>
      <w:r>
        <w:rPr>
          <w:b/>
        </w:rPr>
        <w:t xml:space="preserve">– </w:t>
      </w:r>
      <w:proofErr w:type="gramStart"/>
      <w:r>
        <w:rPr>
          <w:b/>
        </w:rPr>
        <w:t>matrícula</w:t>
      </w:r>
      <w:proofErr w:type="gramEnd"/>
      <w:r>
        <w:rPr>
          <w:b/>
        </w:rPr>
        <w:t xml:space="preserve"> e </w:t>
      </w:r>
      <w:proofErr w:type="spellStart"/>
      <w:r>
        <w:rPr>
          <w:b/>
        </w:rPr>
        <w:t>freqüência</w:t>
      </w:r>
      <w:proofErr w:type="spellEnd"/>
      <w:r>
        <w:rPr>
          <w:b/>
        </w:rPr>
        <w:t xml:space="preserve"> regular do educando em curso </w:t>
      </w:r>
      <w:r>
        <w:t xml:space="preserve">de educação superior, </w:t>
      </w:r>
      <w:r>
        <w:rPr>
          <w:b/>
        </w:rPr>
        <w:t xml:space="preserve">de educação profissional, de ensino médio, </w:t>
      </w:r>
      <w:r>
        <w:t>da educação especial e nos anos finais do ensino fundamental, na modalidade profissional da educação de jovens e adultos e atestados pela instituição de ensino;</w:t>
      </w:r>
    </w:p>
    <w:p w14:paraId="0F2008E3" w14:textId="77777777" w:rsidR="00CF51EE" w:rsidRDefault="00C57CD9">
      <w:pPr>
        <w:numPr>
          <w:ilvl w:val="0"/>
          <w:numId w:val="1"/>
        </w:numPr>
        <w:spacing w:after="202" w:line="301" w:lineRule="auto"/>
        <w:ind w:right="-9"/>
        <w:jc w:val="left"/>
      </w:pPr>
      <w:r>
        <w:rPr>
          <w:b/>
        </w:rPr>
        <w:t xml:space="preserve">– </w:t>
      </w:r>
      <w:proofErr w:type="gramStart"/>
      <w:r>
        <w:rPr>
          <w:b/>
        </w:rPr>
        <w:t>celebração</w:t>
      </w:r>
      <w:proofErr w:type="gramEnd"/>
      <w:r>
        <w:rPr>
          <w:b/>
        </w:rPr>
        <w:t xml:space="preserve"> de termo de compromisso entre o educando, a parte concedente do estágio e a instituição de ensino;</w:t>
      </w:r>
    </w:p>
    <w:p w14:paraId="5B01B5C8" w14:textId="77777777" w:rsidR="00CF51EE" w:rsidRDefault="00C57CD9">
      <w:pPr>
        <w:numPr>
          <w:ilvl w:val="0"/>
          <w:numId w:val="1"/>
        </w:numPr>
        <w:spacing w:after="202" w:line="301" w:lineRule="auto"/>
        <w:ind w:right="-9"/>
        <w:jc w:val="left"/>
      </w:pPr>
      <w:r>
        <w:rPr>
          <w:b/>
        </w:rPr>
        <w:t xml:space="preserve">– </w:t>
      </w:r>
      <w:proofErr w:type="gramStart"/>
      <w:r>
        <w:rPr>
          <w:b/>
        </w:rPr>
        <w:t>compatibilidade</w:t>
      </w:r>
      <w:proofErr w:type="gramEnd"/>
      <w:r>
        <w:rPr>
          <w:b/>
        </w:rPr>
        <w:t xml:space="preserve"> entre as atividades desenvolvidas no estágio e aquelas previstas no termo de compromisso.</w:t>
      </w:r>
    </w:p>
    <w:p w14:paraId="6BA79C86" w14:textId="77777777" w:rsidR="00CF51EE" w:rsidRDefault="00C57CD9">
      <w:pPr>
        <w:ind w:left="-15" w:right="-5"/>
      </w:pPr>
      <w:r>
        <w:t>§ 1</w:t>
      </w:r>
      <w:r>
        <w:rPr>
          <w:sz w:val="22"/>
          <w:vertAlign w:val="superscript"/>
        </w:rPr>
        <w:t xml:space="preserve">o </w:t>
      </w:r>
      <w:r>
        <w:t>O estágio, como ato educativo escolar supervisionado, deverá ter acompanhamento efetivo pelo professor orientador da instituição de ensino e por supervisor da parte concedente, comprovado por vistos nos relatórios referidos no inciso IV do caput do art. 7</w:t>
      </w:r>
      <w:r>
        <w:rPr>
          <w:sz w:val="22"/>
          <w:vertAlign w:val="superscript"/>
        </w:rPr>
        <w:t xml:space="preserve">o </w:t>
      </w:r>
      <w:r>
        <w:t>desta Lei e por menção de aprovação final.</w:t>
      </w:r>
    </w:p>
    <w:p w14:paraId="182CA131" w14:textId="77777777" w:rsidR="00CF51EE" w:rsidRDefault="00C57CD9">
      <w:pPr>
        <w:ind w:left="-15" w:right="-5"/>
      </w:pPr>
      <w:r>
        <w:t>Art. 11. A duração do estágio, na mesma parte concedente, não poderá exceder 2 (dois) anos, exceto quando se tratar de estagiário portador de deficiência.</w:t>
      </w:r>
    </w:p>
    <w:p w14:paraId="0330867B" w14:textId="77777777" w:rsidR="00CF51EE" w:rsidRDefault="00C57CD9">
      <w:pPr>
        <w:spacing w:after="710"/>
        <w:ind w:left="-15" w:right="-5"/>
      </w:pPr>
      <w:r>
        <w:t xml:space="preserve">Art. 12. O estagiário poderá receber bolsa ou outra forma de contraprestação que venha a ser acordada, sendo compulsória a sua concessão, bem como a do auxílio-transporte, </w:t>
      </w:r>
      <w:r>
        <w:rPr>
          <w:b/>
          <w:u w:val="single" w:color="000000"/>
        </w:rPr>
        <w:t>na hipótese de estágio não-obrigatório.</w:t>
      </w:r>
    </w:p>
    <w:p w14:paraId="77A3E091" w14:textId="77777777" w:rsidR="00CF51EE" w:rsidRDefault="00C57CD9">
      <w:pPr>
        <w:pStyle w:val="Ttulo1"/>
        <w:ind w:left="610"/>
      </w:pPr>
      <w:r>
        <w:t>CARGA HORÁRIA DO ESTÁGIO</w:t>
      </w:r>
    </w:p>
    <w:p w14:paraId="64EB0A3F" w14:textId="77777777" w:rsidR="00CF51EE" w:rsidRDefault="00C57CD9">
      <w:pPr>
        <w:ind w:left="-15" w:right="-5"/>
      </w:pPr>
      <w:r>
        <w:t>Art. 10. A jornada de atividade em estágio será definida de comum acordo entre a instituição de ensino, a parte concedente e o aluno estagiário ou seu representante legal, devendo constar do termo de compromisso ser compatível com as atividades escolares e não ultrapassar:</w:t>
      </w:r>
    </w:p>
    <w:p w14:paraId="27F4EF20" w14:textId="77777777" w:rsidR="00CF51EE" w:rsidRDefault="00C57CD9">
      <w:pPr>
        <w:numPr>
          <w:ilvl w:val="0"/>
          <w:numId w:val="2"/>
        </w:numPr>
        <w:ind w:right="-5"/>
      </w:pPr>
      <w:r>
        <w:rPr>
          <w:b/>
        </w:rPr>
        <w:lastRenderedPageBreak/>
        <w:t>– 4 (quatro) horas diárias e 20 (vinte) horas semanais</w:t>
      </w:r>
      <w:r>
        <w:t>, no caso de estudantes de educação especial e dos anos finais do ensino fundamental, na modalidade profissional de educação de jovens e adultos;</w:t>
      </w:r>
    </w:p>
    <w:p w14:paraId="7A86691A" w14:textId="77777777" w:rsidR="00CF51EE" w:rsidRDefault="00C57CD9">
      <w:pPr>
        <w:numPr>
          <w:ilvl w:val="0"/>
          <w:numId w:val="2"/>
        </w:numPr>
        <w:ind w:right="-5"/>
      </w:pPr>
      <w:r>
        <w:rPr>
          <w:b/>
        </w:rPr>
        <w:t xml:space="preserve">– 6 (seis) horas diárias e 30 (trinta) horas semanais, </w:t>
      </w:r>
      <w:r>
        <w:t>no caso de estudantes do ensino superior, da educação profissional de nível médio e do ensino médio regular.</w:t>
      </w:r>
    </w:p>
    <w:p w14:paraId="117AF96B" w14:textId="77777777" w:rsidR="00CF51EE" w:rsidRDefault="00C57CD9">
      <w:pPr>
        <w:spacing w:after="1232" w:line="387" w:lineRule="auto"/>
        <w:ind w:left="-15" w:right="-5" w:firstLine="0"/>
      </w:pPr>
      <w:r>
        <w:rPr>
          <w:i w:val="0"/>
        </w:rPr>
        <w:t xml:space="preserve">* </w:t>
      </w:r>
      <w:r>
        <w:rPr>
          <w:b/>
          <w:i w:val="0"/>
          <w:u w:val="single" w:color="000000"/>
        </w:rPr>
        <w:t xml:space="preserve">Especificamente </w:t>
      </w:r>
      <w:r>
        <w:rPr>
          <w:i w:val="0"/>
        </w:rPr>
        <w:t xml:space="preserve">para os alunos dos cursos Técnicos que estão realizando o </w:t>
      </w:r>
      <w:r>
        <w:rPr>
          <w:b/>
          <w:i w:val="0"/>
          <w:u w:val="single" w:color="000000"/>
        </w:rPr>
        <w:t xml:space="preserve">Estágio Obrigatório na modalidade de Pós- Módulo </w:t>
      </w:r>
      <w:r>
        <w:rPr>
          <w:i w:val="0"/>
        </w:rPr>
        <w:t xml:space="preserve">é permitida a jornada de 8h diárias, conforme: </w:t>
      </w:r>
      <w:r>
        <w:t>§ 1</w:t>
      </w:r>
      <w:r>
        <w:rPr>
          <w:sz w:val="22"/>
          <w:vertAlign w:val="superscript"/>
        </w:rPr>
        <w:t xml:space="preserve">o </w:t>
      </w:r>
      <w:r>
        <w:t xml:space="preserve">O estágio relativo a cursos que alternam teoria e prática, nos períodos em que não estão programadas aulas presenciais, poderá ter </w:t>
      </w:r>
      <w:r>
        <w:rPr>
          <w:b/>
        </w:rPr>
        <w:t>jornada de até 40 (quarenta) horas semanais</w:t>
      </w:r>
      <w:r>
        <w:t>, desde que isso esteja previsto no projeto pedagógico do curso e da instituição de ensino.</w:t>
      </w:r>
    </w:p>
    <w:p w14:paraId="35BF31CC" w14:textId="7DB808E6" w:rsidR="00CF51EE" w:rsidRDefault="00C57CD9" w:rsidP="005E4EC3">
      <w:pPr>
        <w:spacing w:after="759" w:line="265" w:lineRule="auto"/>
        <w:ind w:left="2003" w:right="0" w:hanging="10"/>
      </w:pPr>
      <w:bookmarkStart w:id="0" w:name="_GoBack"/>
      <w:bookmarkEnd w:id="0"/>
      <w:r>
        <w:rPr>
          <w:b/>
          <w:color w:val="0000FF"/>
          <w:u w:val="single" w:color="0000FF"/>
        </w:rPr>
        <w:t>PLANO DE ESTÁGIO – 2 VIAS</w:t>
      </w:r>
    </w:p>
    <w:p w14:paraId="2D9B9B8F" w14:textId="689DAAC4" w:rsidR="00CF51EE" w:rsidRDefault="00C57CD9" w:rsidP="005E4EC3">
      <w:pPr>
        <w:spacing w:after="759" w:line="265" w:lineRule="auto"/>
        <w:ind w:left="1387" w:right="0" w:hanging="10"/>
        <w:rPr>
          <w:b/>
          <w:color w:val="0000FF"/>
          <w:u w:val="single" w:color="0000FF"/>
        </w:rPr>
      </w:pPr>
      <w:r>
        <w:rPr>
          <w:b/>
          <w:color w:val="0000FF"/>
          <w:u w:val="single" w:color="0000FF"/>
        </w:rPr>
        <w:t>TERMO DE COMPROMISSO – 3 VIAS</w:t>
      </w:r>
    </w:p>
    <w:p w14:paraId="03AD0BFB" w14:textId="6657261A" w:rsidR="005E4EC3" w:rsidRDefault="005E4EC3" w:rsidP="005E4EC3">
      <w:pPr>
        <w:spacing w:after="759" w:line="265" w:lineRule="auto"/>
        <w:ind w:left="1387" w:right="0" w:hanging="10"/>
      </w:pPr>
      <w:r>
        <w:rPr>
          <w:b/>
          <w:color w:val="0000FF"/>
          <w:u w:val="single" w:color="0000FF"/>
        </w:rPr>
        <w:t>FICHA DE CONCESSÃO – 2 VIAS</w:t>
      </w:r>
    </w:p>
    <w:sectPr w:rsidR="005E4EC3">
      <w:pgSz w:w="11920" w:h="16840"/>
      <w:pgMar w:top="1490" w:right="1455" w:bottom="20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47157"/>
    <w:multiLevelType w:val="hybridMultilevel"/>
    <w:tmpl w:val="C5B2D660"/>
    <w:lvl w:ilvl="0" w:tplc="BB820702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7230BA">
      <w:start w:val="1"/>
      <w:numFmt w:val="lowerLetter"/>
      <w:lvlText w:val="%2"/>
      <w:lvlJc w:val="left"/>
      <w:pPr>
        <w:ind w:left="1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4D968">
      <w:start w:val="1"/>
      <w:numFmt w:val="lowerRoman"/>
      <w:lvlText w:val="%3"/>
      <w:lvlJc w:val="left"/>
      <w:pPr>
        <w:ind w:left="2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817E6">
      <w:start w:val="1"/>
      <w:numFmt w:val="decimal"/>
      <w:lvlText w:val="%4"/>
      <w:lvlJc w:val="left"/>
      <w:pPr>
        <w:ind w:left="3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CB4EE">
      <w:start w:val="1"/>
      <w:numFmt w:val="lowerLetter"/>
      <w:lvlText w:val="%5"/>
      <w:lvlJc w:val="left"/>
      <w:pPr>
        <w:ind w:left="38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09A7C">
      <w:start w:val="1"/>
      <w:numFmt w:val="lowerRoman"/>
      <w:lvlText w:val="%6"/>
      <w:lvlJc w:val="left"/>
      <w:pPr>
        <w:ind w:left="45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2F296">
      <w:start w:val="1"/>
      <w:numFmt w:val="decimal"/>
      <w:lvlText w:val="%7"/>
      <w:lvlJc w:val="left"/>
      <w:pPr>
        <w:ind w:left="52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6FE1E">
      <w:start w:val="1"/>
      <w:numFmt w:val="lowerLetter"/>
      <w:lvlText w:val="%8"/>
      <w:lvlJc w:val="left"/>
      <w:pPr>
        <w:ind w:left="60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66EFA">
      <w:start w:val="1"/>
      <w:numFmt w:val="lowerRoman"/>
      <w:lvlText w:val="%9"/>
      <w:lvlJc w:val="left"/>
      <w:pPr>
        <w:ind w:left="67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0238F6"/>
    <w:multiLevelType w:val="hybridMultilevel"/>
    <w:tmpl w:val="ECDC698A"/>
    <w:lvl w:ilvl="0" w:tplc="6F904308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A9088">
      <w:start w:val="1"/>
      <w:numFmt w:val="lowerLetter"/>
      <w:lvlText w:val="%2"/>
      <w:lvlJc w:val="left"/>
      <w:pPr>
        <w:ind w:left="1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1E9EC2">
      <w:start w:val="1"/>
      <w:numFmt w:val="lowerRoman"/>
      <w:lvlText w:val="%3"/>
      <w:lvlJc w:val="left"/>
      <w:pPr>
        <w:ind w:left="2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67726">
      <w:start w:val="1"/>
      <w:numFmt w:val="decimal"/>
      <w:lvlText w:val="%4"/>
      <w:lvlJc w:val="left"/>
      <w:pPr>
        <w:ind w:left="3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C3EF6">
      <w:start w:val="1"/>
      <w:numFmt w:val="lowerLetter"/>
      <w:lvlText w:val="%5"/>
      <w:lvlJc w:val="left"/>
      <w:pPr>
        <w:ind w:left="38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A4340">
      <w:start w:val="1"/>
      <w:numFmt w:val="lowerRoman"/>
      <w:lvlText w:val="%6"/>
      <w:lvlJc w:val="left"/>
      <w:pPr>
        <w:ind w:left="45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43E02">
      <w:start w:val="1"/>
      <w:numFmt w:val="decimal"/>
      <w:lvlText w:val="%7"/>
      <w:lvlJc w:val="left"/>
      <w:pPr>
        <w:ind w:left="52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EFD3C">
      <w:start w:val="1"/>
      <w:numFmt w:val="lowerLetter"/>
      <w:lvlText w:val="%8"/>
      <w:lvlJc w:val="left"/>
      <w:pPr>
        <w:ind w:left="60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0B450">
      <w:start w:val="1"/>
      <w:numFmt w:val="lowerRoman"/>
      <w:lvlText w:val="%9"/>
      <w:lvlJc w:val="left"/>
      <w:pPr>
        <w:ind w:left="67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EE"/>
    <w:rsid w:val="005E4EC3"/>
    <w:rsid w:val="00C57CD9"/>
    <w:rsid w:val="00C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0A22"/>
  <w15:docId w15:val="{F894A2DE-1DF9-4EA6-9AC5-1857FF9A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5" w:line="308" w:lineRule="auto"/>
      <w:ind w:right="4" w:firstLine="590"/>
      <w:jc w:val="both"/>
    </w:pPr>
    <w:rPr>
      <w:rFonts w:ascii="Arial" w:eastAsia="Arial" w:hAnsi="Arial" w:cs="Arial"/>
      <w:i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40" w:line="265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759" w:line="265" w:lineRule="auto"/>
      <w:ind w:left="2003" w:hanging="10"/>
      <w:outlineLvl w:val="1"/>
    </w:pPr>
    <w:rPr>
      <w:rFonts w:ascii="Arial" w:eastAsia="Arial" w:hAnsi="Arial" w:cs="Arial"/>
      <w:b/>
      <w:i/>
      <w:color w:val="0000FF"/>
      <w:sz w:val="24"/>
      <w:u w:val="single" w:color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i/>
      <w:color w:val="0000FF"/>
      <w:sz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1.788-2008?OpenDocument" TargetMode="External"/><Relationship Id="rId13" Type="http://schemas.openxmlformats.org/officeDocument/2006/relationships/hyperlink" Target="http://legislacao.planalto.gov.br/legisla/legislacao.nsf/Viw_Identificacao/lei%2011.788-2008?Open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11.788-2008?OpenDocument" TargetMode="External"/><Relationship Id="rId12" Type="http://schemas.openxmlformats.org/officeDocument/2006/relationships/hyperlink" Target="http://legislacao.planalto.gov.br/legisla/legislacao.nsf/Viw_Identificacao/lei%2011.788-2008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cao.planalto.gov.br/legisla/legislacao.nsf/Viw_Identificacao/lei%2011.788-2008?OpenDocument" TargetMode="External"/><Relationship Id="rId11" Type="http://schemas.openxmlformats.org/officeDocument/2006/relationships/hyperlink" Target="http://legislacao.planalto.gov.br/legisla/legislacao.nsf/Viw_Identificacao/lei%2011.788-2008?OpenDocument" TargetMode="External"/><Relationship Id="rId5" Type="http://schemas.openxmlformats.org/officeDocument/2006/relationships/hyperlink" Target="http://legislacao.planalto.gov.br/legisla/legislacao.nsf/Viw_Identificacao/lei%2011.788-2008?OpenDocume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egislacao.planalto.gov.br/legisla/legislacao.nsf/Viw_Identificacao/lei%2011.788-2008?Open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islacao.planalto.gov.br/legisla/legislacao.nsf/Viw_Identificacao/lei%2011.788-2008?OpenDocu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SOBRE ESTÁGIOS 2024</dc:title>
  <dc:subject/>
  <dc:creator>ana.bechara@parobe.local</dc:creator>
  <cp:keywords/>
  <cp:lastModifiedBy>ana.bechara@parobe.local</cp:lastModifiedBy>
  <cp:revision>3</cp:revision>
  <dcterms:created xsi:type="dcterms:W3CDTF">2024-03-14T19:17:00Z</dcterms:created>
  <dcterms:modified xsi:type="dcterms:W3CDTF">2024-03-14T19:31:00Z</dcterms:modified>
</cp:coreProperties>
</file>